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B8D3" w14:textId="77777777" w:rsidR="0010587F" w:rsidRPr="0010587F" w:rsidRDefault="0010587F" w:rsidP="0010587F">
      <w:pPr>
        <w:rPr>
          <w:rFonts w:eastAsia="Times New Roman" w:cstheme="minorHAnsi"/>
          <w:color w:val="313131"/>
          <w:sz w:val="20"/>
          <w:szCs w:val="20"/>
          <w:shd w:val="clear" w:color="auto" w:fill="FFFFFF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shd w:val="clear" w:color="auto" w:fill="FFFFFF"/>
          <w:lang w:eastAsia="en-GB"/>
        </w:rPr>
        <w:t>Geoscience Australia</w:t>
      </w:r>
    </w:p>
    <w:p w14:paraId="2EE86F23" w14:textId="77777777" w:rsidR="0010587F" w:rsidRPr="0010587F" w:rsidRDefault="0010587F" w:rsidP="0010587F">
      <w:pPr>
        <w:outlineLvl w:val="0"/>
        <w:rPr>
          <w:rFonts w:eastAsia="Times New Roman" w:cstheme="minorHAnsi"/>
          <w:b/>
          <w:bCs/>
          <w:color w:val="313131"/>
          <w:kern w:val="36"/>
          <w:sz w:val="20"/>
          <w:szCs w:val="20"/>
          <w:shd w:val="clear" w:color="auto" w:fill="FFFFFF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kern w:val="36"/>
          <w:sz w:val="20"/>
          <w:szCs w:val="20"/>
          <w:shd w:val="clear" w:color="auto" w:fill="FFFFFF"/>
          <w:lang w:eastAsia="en-GB"/>
        </w:rPr>
        <w:t>Enterprise Architecture Services</w:t>
      </w:r>
    </w:p>
    <w:p w14:paraId="25FC6E8E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Opportunity ID</w:t>
      </w:r>
    </w:p>
    <w:p w14:paraId="6029F315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15590</w:t>
      </w:r>
    </w:p>
    <w:p w14:paraId="445F60FE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Deadline for asking questions</w:t>
      </w:r>
    </w:p>
    <w:p w14:paraId="1A18CD7D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Thursday 2 September 2021 at 6pm (in Canberra)</w:t>
      </w:r>
    </w:p>
    <w:p w14:paraId="448FE663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Application closing date</w:t>
      </w:r>
    </w:p>
    <w:p w14:paraId="5F8643B9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Monday 6 September 2021 at 6pm (in Canberra)</w:t>
      </w:r>
    </w:p>
    <w:p w14:paraId="3CE0EF4B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Published</w:t>
      </w:r>
    </w:p>
    <w:p w14:paraId="1C48D6FB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Monday 30 August 2021</w:t>
      </w:r>
    </w:p>
    <w:p w14:paraId="316C20A5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Panel category</w:t>
      </w:r>
    </w:p>
    <w:p w14:paraId="1C2D1C08" w14:textId="1091E32A" w:rsid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Strategy and Policy</w:t>
      </w:r>
    </w:p>
    <w:p w14:paraId="0BC594A9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Rate</w:t>
      </w:r>
    </w:p>
    <w:p w14:paraId="47C469BF" w14:textId="35E4D24A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>
        <w:rPr>
          <w:rFonts w:eastAsia="Times New Roman" w:cstheme="minorHAnsi"/>
          <w:color w:val="313131"/>
          <w:sz w:val="20"/>
          <w:szCs w:val="20"/>
          <w:lang w:eastAsia="en-GB"/>
        </w:rPr>
        <w:t>$110-$170 per hour</w:t>
      </w:r>
    </w:p>
    <w:p w14:paraId="09991A54" w14:textId="77777777" w:rsidR="0010587F" w:rsidRPr="0010587F" w:rsidRDefault="0010587F" w:rsidP="0010587F">
      <w:pPr>
        <w:shd w:val="clear" w:color="auto" w:fill="FFFFFF"/>
        <w:spacing w:before="100" w:beforeAutospacing="1" w:after="100" w:afterAutospacing="1"/>
        <w:outlineLvl w:val="1"/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Overview</w:t>
      </w:r>
    </w:p>
    <w:p w14:paraId="5193BD90" w14:textId="77777777" w:rsidR="0010587F" w:rsidRPr="0010587F" w:rsidRDefault="0010587F" w:rsidP="0010587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Geoscience Australia requires assistance in building a technology roadmap and investment strategy to plan for its future investment in digital science and ICT technology to provide fit-for-purpose solutions for business requirements. This forward vision for technology will allow us to plan for investments and will ensure critical technology decisions are transparent and supported.</w:t>
      </w:r>
    </w:p>
    <w:p w14:paraId="2BDC2E3B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</w:p>
    <w:p w14:paraId="38E65D02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Estimated start date</w:t>
      </w:r>
    </w:p>
    <w:p w14:paraId="788AEBD1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September 2021</w:t>
      </w:r>
    </w:p>
    <w:p w14:paraId="0485A5D1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Location of work</w:t>
      </w:r>
    </w:p>
    <w:p w14:paraId="16370431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Offsite</w:t>
      </w: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br/>
      </w:r>
    </w:p>
    <w:p w14:paraId="57A8874B" w14:textId="77777777" w:rsidR="0010587F" w:rsidRPr="0010587F" w:rsidRDefault="0010587F" w:rsidP="0010587F">
      <w:pPr>
        <w:shd w:val="clear" w:color="auto" w:fill="FFFFFF"/>
        <w:spacing w:before="100" w:beforeAutospacing="1" w:after="100" w:afterAutospacing="1"/>
        <w:outlineLvl w:val="1"/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Objectives</w:t>
      </w:r>
    </w:p>
    <w:p w14:paraId="775B2AA0" w14:textId="77777777" w:rsidR="0010587F" w:rsidRPr="0010587F" w:rsidRDefault="0010587F" w:rsidP="0010587F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Why is the work being done?</w:t>
      </w:r>
    </w:p>
    <w:p w14:paraId="7F7F28EB" w14:textId="77777777" w:rsidR="0010587F" w:rsidRPr="0010587F" w:rsidRDefault="0010587F" w:rsidP="0010587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Geoscience Australia requires assistance in building a technology roadmap and investment strategy to plan for its future investment in digital science and ICT technology to provide fit-for-purpose solutions for business requirements. This forward vision for technology will allow us to plan for investments and will ensure critical technology decisions are transparent and supported.</w:t>
      </w:r>
    </w:p>
    <w:p w14:paraId="4C51B5AF" w14:textId="77777777" w:rsidR="0010587F" w:rsidRPr="0010587F" w:rsidRDefault="0010587F" w:rsidP="0010587F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What's the key problem you need to solve?</w:t>
      </w:r>
    </w:p>
    <w:p w14:paraId="75B3CD38" w14:textId="77777777" w:rsidR="0010587F" w:rsidRPr="0010587F" w:rsidRDefault="0010587F" w:rsidP="0010587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Geoscience Australia requires assistance in building a technology roadmap and investment strategy to plan for its future investment in digital science and ICT technology to provide fit-for-purpose solutions for business requirements. This forward vision for technology will allow us to plan for investments and will ensure critical technology decisions are transparent and supported.</w:t>
      </w:r>
    </w:p>
    <w:p w14:paraId="0DD4C499" w14:textId="77777777" w:rsidR="0010587F" w:rsidRPr="0010587F" w:rsidRDefault="0010587F" w:rsidP="0010587F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Describe the users and their needs</w:t>
      </w:r>
    </w:p>
    <w:p w14:paraId="3686E0BF" w14:textId="77777777" w:rsidR="0010587F" w:rsidRPr="0010587F" w:rsidRDefault="0010587F" w:rsidP="0010587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 xml:space="preserve">Service will be led by the Infrastructure Architect </w:t>
      </w:r>
      <w:proofErr w:type="gramStart"/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team, but</w:t>
      </w:r>
      <w:proofErr w:type="gramEnd"/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 xml:space="preserve"> will also need to work with all areas of the business including the Chief Scientific Information Officer (CSIO), service providers, business areas, Cyber Security and ICT Delivery Leads.</w:t>
      </w:r>
    </w:p>
    <w:p w14:paraId="6F68DDF2" w14:textId="77777777" w:rsidR="0010587F" w:rsidRPr="0010587F" w:rsidRDefault="0010587F" w:rsidP="0010587F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What work has already been done?</w:t>
      </w:r>
    </w:p>
    <w:p w14:paraId="25176F99" w14:textId="77777777" w:rsidR="0010587F" w:rsidRPr="0010587F" w:rsidRDefault="0010587F" w:rsidP="0010587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Not Applicable</w:t>
      </w:r>
    </w:p>
    <w:p w14:paraId="6825EA6E" w14:textId="77777777" w:rsidR="000E5E3C" w:rsidRDefault="000E5E3C" w:rsidP="0010587F">
      <w:pPr>
        <w:shd w:val="clear" w:color="auto" w:fill="FFFFFF"/>
        <w:outlineLvl w:val="1"/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</w:pPr>
    </w:p>
    <w:p w14:paraId="2DDD6CC3" w14:textId="77777777" w:rsidR="000E5E3C" w:rsidRDefault="000E5E3C" w:rsidP="0010587F">
      <w:pPr>
        <w:shd w:val="clear" w:color="auto" w:fill="FFFFFF"/>
        <w:outlineLvl w:val="1"/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</w:pPr>
    </w:p>
    <w:p w14:paraId="0DF9E11E" w14:textId="119F7879" w:rsidR="0010587F" w:rsidRPr="0010587F" w:rsidRDefault="0010587F" w:rsidP="0010587F">
      <w:pPr>
        <w:shd w:val="clear" w:color="auto" w:fill="FFFFFF"/>
        <w:outlineLvl w:val="1"/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b/>
          <w:bCs/>
          <w:color w:val="313131"/>
          <w:sz w:val="20"/>
          <w:szCs w:val="20"/>
          <w:lang w:eastAsia="en-GB"/>
        </w:rPr>
        <w:t>Response criteria</w:t>
      </w:r>
    </w:p>
    <w:p w14:paraId="463DE423" w14:textId="07D1DCFE" w:rsidR="0010587F" w:rsidRPr="0010587F" w:rsidRDefault="0010587F" w:rsidP="0010587F">
      <w:pPr>
        <w:shd w:val="clear" w:color="auto" w:fill="FBFBFB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Compliance with Skill and Experience</w:t>
      </w:r>
    </w:p>
    <w:p w14:paraId="1917B153" w14:textId="77777777" w:rsidR="0010587F" w:rsidRPr="0010587F" w:rsidRDefault="0010587F" w:rsidP="0010587F">
      <w:pPr>
        <w:shd w:val="clear" w:color="auto" w:fill="FBFBFB"/>
        <w:rPr>
          <w:rFonts w:eastAsia="Times New Roman" w:cstheme="minorHAnsi"/>
          <w:color w:val="313131"/>
          <w:sz w:val="20"/>
          <w:szCs w:val="20"/>
          <w:lang w:eastAsia="en-GB"/>
        </w:rPr>
      </w:pPr>
    </w:p>
    <w:p w14:paraId="7234FA53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 xml:space="preserve">Cultural fit </w:t>
      </w:r>
    </w:p>
    <w:p w14:paraId="0792B547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 xml:space="preserve">• Transparent and collaborative approach to working with internal and external </w:t>
      </w:r>
      <w:proofErr w:type="gramStart"/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stakeholders;</w:t>
      </w:r>
      <w:proofErr w:type="gramEnd"/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 xml:space="preserve"> </w:t>
      </w:r>
    </w:p>
    <w:p w14:paraId="33AC3F00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 xml:space="preserve">• Outcome focused and work at pace to achieve key </w:t>
      </w:r>
      <w:proofErr w:type="gramStart"/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deadlines;</w:t>
      </w:r>
      <w:proofErr w:type="gramEnd"/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 xml:space="preserve"> </w:t>
      </w:r>
    </w:p>
    <w:p w14:paraId="4F65DAF2" w14:textId="224106BD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• Promote a positive culture and build strong working relationships.</w:t>
      </w:r>
    </w:p>
    <w:p w14:paraId="15864D81" w14:textId="77777777" w:rsidR="0010587F" w:rsidRPr="0010587F" w:rsidRDefault="0010587F" w:rsidP="0010587F">
      <w:pPr>
        <w:shd w:val="clear" w:color="auto" w:fill="FBFBFB"/>
        <w:rPr>
          <w:rFonts w:eastAsia="Times New Roman" w:cstheme="minorHAnsi"/>
          <w:color w:val="313131"/>
          <w:sz w:val="20"/>
          <w:szCs w:val="20"/>
          <w:lang w:eastAsia="en-GB"/>
        </w:rPr>
      </w:pPr>
    </w:p>
    <w:p w14:paraId="37E4B085" w14:textId="77777777" w:rsidR="0010587F" w:rsidRPr="0010587F" w:rsidRDefault="0010587F" w:rsidP="0010587F">
      <w:pPr>
        <w:shd w:val="clear" w:color="auto" w:fill="FBFBFB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 xml:space="preserve">Work history </w:t>
      </w:r>
    </w:p>
    <w:p w14:paraId="59890677" w14:textId="77777777" w:rsidR="0010587F" w:rsidRPr="0010587F" w:rsidRDefault="0010587F" w:rsidP="0010587F">
      <w:pPr>
        <w:shd w:val="clear" w:color="auto" w:fill="FBFBFB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 xml:space="preserve">• References </w:t>
      </w:r>
    </w:p>
    <w:p w14:paraId="118D53A7" w14:textId="5B54A69F" w:rsidR="0010587F" w:rsidRPr="0010587F" w:rsidRDefault="0010587F" w:rsidP="0010587F">
      <w:pPr>
        <w:shd w:val="clear" w:color="auto" w:fill="FBFBFB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• Interview</w:t>
      </w:r>
    </w:p>
    <w:p w14:paraId="73EAC4EE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</w:p>
    <w:p w14:paraId="75CEEA0F" w14:textId="78C9E1DD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  <w:r w:rsidRPr="0010587F">
        <w:rPr>
          <w:rFonts w:eastAsia="Times New Roman" w:cstheme="minorHAnsi"/>
          <w:color w:val="313131"/>
          <w:sz w:val="20"/>
          <w:szCs w:val="20"/>
          <w:lang w:eastAsia="en-GB"/>
        </w:rPr>
        <w:t>Compliance with Baseline Security requirement</w:t>
      </w:r>
    </w:p>
    <w:p w14:paraId="1DF62ABA" w14:textId="77777777" w:rsidR="0010587F" w:rsidRPr="0010587F" w:rsidRDefault="0010587F" w:rsidP="0010587F">
      <w:pPr>
        <w:shd w:val="clear" w:color="auto" w:fill="FFFFFF"/>
        <w:rPr>
          <w:rFonts w:eastAsia="Times New Roman" w:cstheme="minorHAnsi"/>
          <w:color w:val="313131"/>
          <w:sz w:val="20"/>
          <w:szCs w:val="20"/>
          <w:lang w:eastAsia="en-GB"/>
        </w:rPr>
      </w:pPr>
    </w:p>
    <w:p w14:paraId="74916E9C" w14:textId="77777777" w:rsidR="00CD3ADA" w:rsidRPr="00FD2FC5" w:rsidRDefault="00CD3ADA" w:rsidP="00CD3ADA">
      <w:pPr>
        <w:pStyle w:val="Heading2"/>
        <w:shd w:val="clear" w:color="auto" w:fill="FFFFFF"/>
        <w:rPr>
          <w:rFonts w:asciiTheme="minorHAnsi" w:hAnsiTheme="minorHAnsi" w:cstheme="minorHAnsi"/>
          <w:b w:val="0"/>
          <w:bCs w:val="0"/>
          <w:color w:val="313131"/>
          <w:sz w:val="20"/>
          <w:szCs w:val="20"/>
        </w:rPr>
      </w:pPr>
      <w:r>
        <w:rPr>
          <w:rFonts w:asciiTheme="minorHAnsi" w:hAnsiTheme="minorHAnsi" w:cstheme="minorHAnsi"/>
          <w:color w:val="313131"/>
          <w:sz w:val="20"/>
          <w:szCs w:val="20"/>
        </w:rPr>
        <w:t xml:space="preserve">ADDITIONAL INFORMATION: </w:t>
      </w:r>
      <w:r w:rsidRPr="0054212F">
        <w:rPr>
          <w:rFonts w:asciiTheme="minorHAnsi" w:hAnsiTheme="minorHAnsi" w:cstheme="minorHAnsi"/>
          <w:b w:val="0"/>
          <w:bCs w:val="0"/>
          <w:color w:val="313131"/>
          <w:sz w:val="20"/>
          <w:szCs w:val="20"/>
        </w:rPr>
        <w:t xml:space="preserve">Please contact Keane staff on </w:t>
      </w:r>
      <w:hyperlink r:id="rId7" w:history="1">
        <w:r w:rsidRPr="0054212F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admin@keane.com.au</w:t>
        </w:r>
      </w:hyperlink>
      <w:r w:rsidRPr="0054212F">
        <w:rPr>
          <w:rFonts w:asciiTheme="minorHAnsi" w:hAnsiTheme="minorHAnsi" w:cstheme="minorHAnsi"/>
          <w:b w:val="0"/>
          <w:bCs w:val="0"/>
          <w:color w:val="313131"/>
          <w:sz w:val="20"/>
          <w:szCs w:val="20"/>
        </w:rPr>
        <w:t xml:space="preserve"> for additional information.</w:t>
      </w:r>
    </w:p>
    <w:p w14:paraId="48F43744" w14:textId="77777777" w:rsidR="00094513" w:rsidRPr="0010587F" w:rsidRDefault="00CD3ADA">
      <w:pPr>
        <w:rPr>
          <w:rFonts w:cstheme="minorHAnsi"/>
          <w:sz w:val="20"/>
          <w:szCs w:val="20"/>
        </w:rPr>
      </w:pPr>
    </w:p>
    <w:sectPr w:rsidR="00094513" w:rsidRPr="00105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7F"/>
    <w:rsid w:val="000E5E3C"/>
    <w:rsid w:val="0010587F"/>
    <w:rsid w:val="00B81399"/>
    <w:rsid w:val="00CD3ADA"/>
    <w:rsid w:val="00D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0FDE4"/>
  <w15:chartTrackingRefBased/>
  <w15:docId w15:val="{2E97DE8E-7EE1-BD40-9E31-24492D7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8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058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058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8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58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58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0587F"/>
    <w:rPr>
      <w:b/>
      <w:bCs/>
    </w:rPr>
  </w:style>
  <w:style w:type="paragraph" w:customStyle="1" w:styleId="components-opportunity-opportunitynewlines1jbmd">
    <w:name w:val="components-opportunity-___opportunity__newlines___1jbmd"/>
    <w:basedOn w:val="Normal"/>
    <w:rsid w:val="001058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D3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6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29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75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9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95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9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6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415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12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1250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95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86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56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4850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6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135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286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dmin@keane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FAA76A0174F4BA5AF13838276EC73" ma:contentTypeVersion="13" ma:contentTypeDescription="Create a new document." ma:contentTypeScope="" ma:versionID="1c25e97d2dba0484a8f67a35c97d7803">
  <xsd:schema xmlns:xsd="http://www.w3.org/2001/XMLSchema" xmlns:xs="http://www.w3.org/2001/XMLSchema" xmlns:p="http://schemas.microsoft.com/office/2006/metadata/properties" xmlns:ns2="f7842072-de1d-49f2-9a87-33dfa07ec689" xmlns:ns3="40a7fa4e-6ff0-4ddb-9d77-664414a2bdb1" targetNamespace="http://schemas.microsoft.com/office/2006/metadata/properties" ma:root="true" ma:fieldsID="4e4ed6176217dc459812216db99ad991" ns2:_="" ns3:_="">
    <xsd:import namespace="f7842072-de1d-49f2-9a87-33dfa07ec689"/>
    <xsd:import namespace="40a7fa4e-6ff0-4ddb-9d77-664414a2bd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2072-de1d-49f2-9a87-33dfa07ec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7fa4e-6ff0-4ddb-9d77-664414a2b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6A0F8-7F54-4B1C-90D7-C36EC9FE3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5512A-228F-4F1F-A6DC-FFC6955DF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2072-de1d-49f2-9a87-33dfa07ec689"/>
    <ds:schemaRef ds:uri="40a7fa4e-6ff0-4ddb-9d77-664414a2b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49871-ED72-4906-865D-4F14A7F8EE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Oneill</dc:creator>
  <cp:keywords/>
  <dc:description/>
  <cp:lastModifiedBy>Amanda Oneill</cp:lastModifiedBy>
  <cp:revision>3</cp:revision>
  <dcterms:created xsi:type="dcterms:W3CDTF">2021-09-01T22:47:00Z</dcterms:created>
  <dcterms:modified xsi:type="dcterms:W3CDTF">2021-09-02T01:59:00Z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0x01010058EFAA76A0174F4BA5AF13838276EC73</vt:lpwstr>
  </property>
</Properties>
</file>